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00" w:rsidRDefault="00D65782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3000375" cy="809625"/>
            <wp:effectExtent l="0" t="0" r="9525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00" w:rsidRDefault="004F766B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F05F00" w:rsidRDefault="001169C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il Comune di Santa Maria a Monte</w:t>
      </w:r>
      <w:r w:rsidR="004F766B">
        <w:rPr>
          <w:rFonts w:ascii="Titillium" w:hAnsi="Titillium" w:cs="Times New Roman"/>
          <w:sz w:val="20"/>
          <w:szCs w:val="20"/>
        </w:rPr>
        <w:t xml:space="preserve"> ha effettuato, ai sensi dell’art. 14, co. 4, lett. g), del d.lgs. n. 150/2009 e delle </w:t>
      </w:r>
      <w:r w:rsidR="004F766B">
        <w:rPr>
          <w:rFonts w:ascii="Titillium" w:hAnsi="Titillium" w:cs="Times New Roman"/>
          <w:b/>
          <w:sz w:val="20"/>
          <w:szCs w:val="20"/>
        </w:rPr>
        <w:t xml:space="preserve">delibere ANAC n. 1310/2016 e n. 201/2022, </w:t>
      </w:r>
      <w:r w:rsidR="004F766B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4F766B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="004F766B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2022 </w:t>
      </w:r>
      <w:r w:rsidR="004F766B">
        <w:rPr>
          <w:rFonts w:ascii="Titillium" w:hAnsi="Titillium" w:cs="Times New Roman"/>
          <w:color w:val="000000" w:themeColor="text1"/>
          <w:sz w:val="20"/>
          <w:szCs w:val="20"/>
        </w:rPr>
        <w:t>della delibera n. 201/2022.</w:t>
      </w:r>
    </w:p>
    <w:p w:rsidR="00F05F00" w:rsidRDefault="00111C0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4F766B">
        <w:rPr>
          <w:rFonts w:ascii="Titillium" w:hAnsi="Titillium" w:cs="Times New Roman"/>
          <w:sz w:val="20"/>
          <w:szCs w:val="20"/>
        </w:rPr>
        <w:t>ha svolto gli accertamenti:</w:t>
      </w:r>
    </w:p>
    <w:p w:rsidR="00F05F00" w:rsidRDefault="00111C0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X </w:t>
      </w:r>
      <w:r w:rsidR="004F766B">
        <w:rPr>
          <w:rFonts w:ascii="Titillium" w:hAnsi="Titillium" w:cs="Times New Roman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F05F00" w:rsidRDefault="004F766B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dall’OIV/ altro Organismo/soggetto con funzioni analoghe.</w:t>
      </w:r>
    </w:p>
    <w:p w:rsidR="00F05F00" w:rsidRDefault="004F766B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Sulla base di quanto sopra, </w:t>
      </w:r>
      <w:r w:rsidR="00111C05">
        <w:rPr>
          <w:rFonts w:ascii="Titillium" w:hAnsi="Titillium" w:cs="Times New Roman"/>
          <w:sz w:val="20"/>
          <w:szCs w:val="20"/>
        </w:rPr>
        <w:t>Il Nucleo di Valutazione</w:t>
      </w:r>
      <w:r>
        <w:rPr>
          <w:rFonts w:ascii="Titillium" w:hAnsi="Titillium" w:cs="Times New Roman"/>
          <w:sz w:val="20"/>
          <w:szCs w:val="20"/>
        </w:rPr>
        <w:t>, ai sensi dell’art. 14, co. 4, lett. g), del d.lgs. n. 150/2009</w:t>
      </w:r>
    </w:p>
    <w:p w:rsidR="00F05F00" w:rsidRDefault="00F05F00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F05F00" w:rsidRDefault="00F05F00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F05F00" w:rsidRDefault="004F766B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ATTESTA CHE</w:t>
      </w:r>
    </w:p>
    <w:p w:rsidR="00F05F00" w:rsidRDefault="004F766B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</w:t>
      </w:r>
      <w:r>
        <w:rPr>
          <w:rFonts w:ascii="Titillium" w:hAnsi="Titillium"/>
          <w:sz w:val="20"/>
          <w:szCs w:val="20"/>
        </w:rPr>
        <w:t>”;</w:t>
      </w:r>
    </w:p>
    <w:p w:rsidR="00F05F00" w:rsidRDefault="00111C05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F766B">
        <w:rPr>
          <w:rFonts w:ascii="Titillium" w:hAnsi="Titillium"/>
          <w:caps/>
          <w:sz w:val="20"/>
          <w:szCs w:val="20"/>
        </w:rPr>
        <w:t xml:space="preserve"> l’</w:t>
      </w:r>
      <w:r w:rsidR="004F766B">
        <w:rPr>
          <w:rFonts w:ascii="Titillium" w:hAnsi="Titillium"/>
          <w:sz w:val="20"/>
          <w:szCs w:val="20"/>
        </w:rPr>
        <w:t xml:space="preserve">amministrazione/ente </w:t>
      </w:r>
      <w:r w:rsidR="004F766B">
        <w:rPr>
          <w:rFonts w:ascii="Titillium" w:hAnsi="Titillium"/>
          <w:sz w:val="20"/>
          <w:szCs w:val="20"/>
          <w:u w:val="single"/>
        </w:rPr>
        <w:t>NON</w:t>
      </w:r>
      <w:r w:rsidR="004F766B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F766B">
        <w:rPr>
          <w:rFonts w:ascii="Titillium" w:hAnsi="Titillium"/>
          <w:i/>
          <w:sz w:val="20"/>
          <w:szCs w:val="20"/>
        </w:rPr>
        <w:t>Amministrazione trasparente”;</w:t>
      </w:r>
    </w:p>
    <w:p w:rsidR="00F05F00" w:rsidRDefault="00F05F00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F05F00" w:rsidRDefault="00111C05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F766B">
        <w:rPr>
          <w:rFonts w:ascii="Titillium" w:hAnsi="Titillium" w:cs="Times New Roman"/>
          <w:sz w:val="20"/>
          <w:szCs w:val="20"/>
        </w:rPr>
        <w:t xml:space="preserve"> </w:t>
      </w:r>
      <w:r w:rsidR="004F766B">
        <w:rPr>
          <w:rFonts w:ascii="Titillium" w:hAnsi="Titillium"/>
          <w:caps/>
          <w:sz w:val="20"/>
          <w:szCs w:val="20"/>
        </w:rPr>
        <w:t>l’</w:t>
      </w:r>
      <w:r w:rsidR="004F766B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:rsidR="00F05F00" w:rsidRDefault="004F766B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</w:t>
      </w:r>
      <w:r>
        <w:rPr>
          <w:rFonts w:ascii="Titillium" w:hAnsi="Titillium"/>
          <w:sz w:val="20"/>
          <w:szCs w:val="20"/>
          <w:u w:val="single"/>
        </w:rPr>
        <w:t>NON</w:t>
      </w:r>
      <w:r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:rsidR="00F05F00" w:rsidRDefault="00F05F00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F05F00" w:rsidRDefault="00AF143C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X </w:t>
      </w:r>
      <w:r w:rsidR="004F766B">
        <w:rPr>
          <w:rFonts w:ascii="Titillium" w:hAnsi="Titillium"/>
          <w:sz w:val="20"/>
          <w:szCs w:val="20"/>
        </w:rPr>
        <w:t xml:space="preserve"> </w:t>
      </w:r>
      <w:r w:rsidR="004F766B">
        <w:rPr>
          <w:rFonts w:ascii="Titillium" w:hAnsi="Titillium"/>
          <w:caps/>
          <w:sz w:val="20"/>
          <w:szCs w:val="20"/>
        </w:rPr>
        <w:t>L’</w:t>
      </w:r>
      <w:r w:rsidR="004F766B">
        <w:rPr>
          <w:rFonts w:ascii="Titillium" w:hAnsi="Titillium"/>
          <w:sz w:val="20"/>
          <w:szCs w:val="20"/>
        </w:rPr>
        <w:t xml:space="preserve">amministrazione/ente NON ha disposto filtri </w:t>
      </w:r>
      <w:r w:rsidR="004F766B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F766B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F766B">
        <w:rPr>
          <w:rFonts w:ascii="Titillium" w:hAnsi="Titillium"/>
          <w:i/>
          <w:sz w:val="20"/>
          <w:szCs w:val="20"/>
        </w:rPr>
        <w:t>web</w:t>
      </w:r>
      <w:r w:rsidR="004F766B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F05F00" w:rsidRDefault="004F766B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amministrazione/ente ha disposto filtri </w:t>
      </w:r>
      <w:r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:rsidR="00F05F00" w:rsidRDefault="00F05F00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F05F00" w:rsidRDefault="004F766B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ATTESTA</w:t>
      </w:r>
    </w:p>
    <w:p w:rsidR="00F05F00" w:rsidRDefault="004F766B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lastRenderedPageBreak/>
        <w:t>la veridicità</w:t>
      </w:r>
      <w:r>
        <w:rPr>
          <w:rStyle w:val="Richiamoallanotaapidipagina"/>
          <w:rFonts w:ascii="Titillium" w:hAnsi="Titillium" w:cs="Times New Roman"/>
          <w:sz w:val="20"/>
          <w:szCs w:val="20"/>
        </w:rPr>
        <w:footnoteReference w:id="1"/>
      </w:r>
      <w:r>
        <w:rPr>
          <w:rFonts w:ascii="Titillium" w:hAnsi="Titillium" w:cs="Times New Roman"/>
          <w:sz w:val="12"/>
          <w:szCs w:val="12"/>
        </w:rPr>
        <w:t xml:space="preserve"> </w:t>
      </w:r>
      <w:r>
        <w:rPr>
          <w:rFonts w:ascii="Titillium" w:hAnsi="Titillium" w:cs="Times New Roman"/>
          <w:sz w:val="20"/>
          <w:szCs w:val="20"/>
        </w:rPr>
        <w:t>e l’attendibilità, alla data dell’attestazione</w:t>
      </w:r>
      <w:r>
        <w:rPr>
          <w:rFonts w:ascii="Titillium" w:hAnsi="Titillium"/>
          <w:sz w:val="20"/>
          <w:szCs w:val="20"/>
        </w:rPr>
        <w:t>,</w:t>
      </w:r>
      <w:r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>rispetto a quanto pubblicat</w:t>
      </w:r>
      <w:r>
        <w:rPr>
          <w:rFonts w:ascii="Titillium" w:hAnsi="Titillium"/>
          <w:sz w:val="20"/>
          <w:szCs w:val="20"/>
        </w:rPr>
        <w:t>o sul sito dell’amministrazione/ente.</w:t>
      </w:r>
    </w:p>
    <w:p w:rsidR="00F05F00" w:rsidRDefault="00F05F00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F05F00" w:rsidRDefault="004F766B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Data </w:t>
      </w:r>
      <w:r w:rsidR="00AF143C">
        <w:rPr>
          <w:rFonts w:ascii="Titillium" w:hAnsi="Titillium" w:cs="Times New Roman"/>
          <w:sz w:val="20"/>
          <w:szCs w:val="20"/>
        </w:rPr>
        <w:t>27/06/2022</w:t>
      </w:r>
    </w:p>
    <w:p w:rsidR="00F05F00" w:rsidRDefault="00F05F0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4536C7" w:rsidRPr="00C5488A" w:rsidRDefault="004536C7" w:rsidP="004536C7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dei componenti </w:t>
      </w:r>
      <w:r>
        <w:rPr>
          <w:rFonts w:ascii="Titillium" w:hAnsi="Titillium" w:cs="Times New Roman"/>
          <w:sz w:val="20"/>
          <w:szCs w:val="20"/>
        </w:rPr>
        <w:t>il Nucleo di Valutazione</w:t>
      </w:r>
    </w:p>
    <w:p w:rsidR="004536C7" w:rsidRPr="00C5488A" w:rsidRDefault="004536C7" w:rsidP="004536C7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>
        <w:rPr>
          <w:rFonts w:ascii="Titillium" w:hAnsi="Titillium" w:cs="Times New Roman"/>
          <w:b/>
          <w:bCs/>
          <w:sz w:val="20"/>
          <w:szCs w:val="20"/>
        </w:rPr>
        <w:t>Dott.ssa Alessia Rinaldi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:rsidR="00F05F00" w:rsidRDefault="00F05F00" w:rsidP="004536C7">
      <w:pPr>
        <w:spacing w:before="120" w:after="0" w:line="276" w:lineRule="auto"/>
        <w:jc w:val="right"/>
      </w:pPr>
    </w:p>
    <w:sectPr w:rsidR="00F05F00" w:rsidSect="00C47CFE">
      <w:headerReference w:type="default" r:id="rId12"/>
      <w:pgSz w:w="11906" w:h="16838"/>
      <w:pgMar w:top="1417" w:right="1134" w:bottom="708" w:left="1134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72" w:rsidRDefault="006B3D72">
      <w:pPr>
        <w:spacing w:after="0" w:line="240" w:lineRule="auto"/>
      </w:pPr>
      <w:r>
        <w:separator/>
      </w:r>
    </w:p>
  </w:endnote>
  <w:endnote w:type="continuationSeparator" w:id="0">
    <w:p w:rsidR="006B3D72" w:rsidRDefault="006B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tillium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72" w:rsidRDefault="006B3D72">
      <w:r>
        <w:separator/>
      </w:r>
    </w:p>
  </w:footnote>
  <w:footnote w:type="continuationSeparator" w:id="0">
    <w:p w:rsidR="006B3D72" w:rsidRDefault="006B3D72">
      <w:r>
        <w:continuationSeparator/>
      </w:r>
    </w:p>
  </w:footnote>
  <w:footnote w:id="1">
    <w:p w:rsidR="00F05F00" w:rsidRDefault="004F766B">
      <w:pPr>
        <w:pStyle w:val="Testonotaapidipagina"/>
        <w:spacing w:line="240" w:lineRule="auto"/>
      </w:pPr>
      <w:r>
        <w:rPr>
          <w:rStyle w:val="Rimandonotaapidipagina"/>
          <w:rFonts w:ascii="Titillium" w:hAnsi="Titillium"/>
          <w:sz w:val="12"/>
          <w:szCs w:val="12"/>
        </w:rPr>
        <w:footnoteRef/>
      </w:r>
      <w:r>
        <w:rPr>
          <w:rStyle w:val="Rimandonotaapidipagina"/>
          <w:rFonts w:ascii="Titillium" w:hAnsi="Titillium"/>
          <w:sz w:val="12"/>
          <w:szCs w:val="12"/>
        </w:rPr>
        <w:tab/>
      </w:r>
      <w:r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00" w:rsidRDefault="004F766B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>
      <w:rPr>
        <w:rFonts w:ascii="Titillium" w:hAnsi="Titillium"/>
        <w:b/>
        <w:sz w:val="20"/>
        <w:szCs w:val="20"/>
      </w:rPr>
      <w:t xml:space="preserve">Allegato 1.1 alla </w:t>
    </w:r>
    <w:r>
      <w:rPr>
        <w:rFonts w:ascii="Titillium" w:hAnsi="Titillium" w:cs="Times New Roman"/>
        <w:b/>
        <w:sz w:val="20"/>
        <w:szCs w:val="20"/>
      </w:rPr>
      <w:t xml:space="preserve">delibera ANAC n. 201/2022 </w:t>
    </w:r>
    <w:r>
      <w:rPr>
        <w:rFonts w:ascii="Titillium" w:hAnsi="Titillium"/>
        <w:b/>
        <w:sz w:val="20"/>
        <w:szCs w:val="20"/>
      </w:rPr>
      <w:t xml:space="preserve">– Documento di attestazione </w:t>
    </w:r>
    <w:r>
      <w:rPr>
        <w:rFonts w:ascii="Titillium" w:hAnsi="Titillium"/>
        <w:b/>
        <w:sz w:val="20"/>
        <w:szCs w:val="20"/>
        <w:u w:val="single"/>
      </w:rPr>
      <w:t>per le pubbliche amministrazioni di cui al 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93A"/>
    <w:multiLevelType w:val="multilevel"/>
    <w:tmpl w:val="35C4E9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tillium" w:hAnsi="Titillium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6C6C396F"/>
    <w:multiLevelType w:val="multilevel"/>
    <w:tmpl w:val="3620B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F00"/>
    <w:rsid w:val="00111C05"/>
    <w:rsid w:val="001169CA"/>
    <w:rsid w:val="004536C7"/>
    <w:rsid w:val="004F766B"/>
    <w:rsid w:val="006B3D72"/>
    <w:rsid w:val="00AF143C"/>
    <w:rsid w:val="00C47CFE"/>
    <w:rsid w:val="00C915FC"/>
    <w:rsid w:val="00D65782"/>
    <w:rsid w:val="00F0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CFE"/>
    <w:pPr>
      <w:keepNext/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Titolo"/>
    <w:rsid w:val="00C47CFE"/>
    <w:pPr>
      <w:outlineLvl w:val="0"/>
    </w:pPr>
  </w:style>
  <w:style w:type="paragraph" w:styleId="Titolo2">
    <w:name w:val="heading 2"/>
    <w:basedOn w:val="Titolo"/>
    <w:rsid w:val="00C47CFE"/>
    <w:pPr>
      <w:outlineLvl w:val="1"/>
    </w:pPr>
  </w:style>
  <w:style w:type="paragraph" w:styleId="Titolo3">
    <w:name w:val="heading 3"/>
    <w:basedOn w:val="Titolo"/>
    <w:rsid w:val="00C47CFE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qFormat/>
    <w:rsid w:val="00C47CFE"/>
    <w:rPr>
      <w:sz w:val="13"/>
    </w:rPr>
  </w:style>
  <w:style w:type="character" w:customStyle="1" w:styleId="TestonotaapidipaginaCarattere">
    <w:name w:val="Testo nota a piè di pagina Carattere"/>
    <w:basedOn w:val="Carpredefinitoparagrafo"/>
    <w:qFormat/>
    <w:rsid w:val="00C47CF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sid w:val="00C47CF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qFormat/>
    <w:rsid w:val="00C47CFE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qFormat/>
    <w:rsid w:val="00C47CF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sid w:val="00C47CF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sid w:val="00C47CF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sid w:val="00C47CF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sid w:val="00C47CF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sid w:val="00C47CF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qFormat/>
    <w:rsid w:val="00C47CFE"/>
  </w:style>
  <w:style w:type="character" w:customStyle="1" w:styleId="Richiamoallanotadichiusura">
    <w:name w:val="Richiamo alla nota di chiusura"/>
    <w:rsid w:val="00C47CFE"/>
    <w:rPr>
      <w:vertAlign w:val="superscript"/>
    </w:rPr>
  </w:style>
  <w:style w:type="character" w:customStyle="1" w:styleId="Caratterenotadichiusura">
    <w:name w:val="Carattere nota di chiusura"/>
    <w:qFormat/>
    <w:rsid w:val="00C47CFE"/>
  </w:style>
  <w:style w:type="character" w:customStyle="1" w:styleId="ListLabel1">
    <w:name w:val="ListLabel 1"/>
    <w:qFormat/>
    <w:rsid w:val="00C47CFE"/>
    <w:rPr>
      <w:rFonts w:ascii="Titillium" w:hAnsi="Titillium"/>
      <w:color w:val="00000A"/>
      <w:sz w:val="20"/>
    </w:rPr>
  </w:style>
  <w:style w:type="character" w:customStyle="1" w:styleId="ListLabel2">
    <w:name w:val="ListLabel 2"/>
    <w:qFormat/>
    <w:rsid w:val="00C47CFE"/>
    <w:rPr>
      <w:rFonts w:cs="Courier New"/>
    </w:rPr>
  </w:style>
  <w:style w:type="character" w:customStyle="1" w:styleId="Caratterenotaapidipagina">
    <w:name w:val="Carattere nota a piè di pagina"/>
    <w:qFormat/>
    <w:rsid w:val="00C47CFE"/>
  </w:style>
  <w:style w:type="character" w:customStyle="1" w:styleId="Richiamoallanotaapidipagina">
    <w:name w:val="Richiamo alla nota a piè di pagina"/>
    <w:rsid w:val="00C47CFE"/>
    <w:rPr>
      <w:vertAlign w:val="superscript"/>
    </w:rPr>
  </w:style>
  <w:style w:type="paragraph" w:styleId="Titolo">
    <w:name w:val="Title"/>
    <w:basedOn w:val="Normale"/>
    <w:next w:val="Corpodeltesto1"/>
    <w:qFormat/>
    <w:rsid w:val="00C47CFE"/>
    <w:pPr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C47CFE"/>
    <w:pPr>
      <w:spacing w:after="140" w:line="288" w:lineRule="auto"/>
    </w:pPr>
  </w:style>
  <w:style w:type="paragraph" w:styleId="Elenco">
    <w:name w:val="List"/>
    <w:basedOn w:val="Corpodeltesto1"/>
    <w:rsid w:val="00C47CFE"/>
    <w:rPr>
      <w:rFonts w:cs="Lucida Sans"/>
    </w:rPr>
  </w:style>
  <w:style w:type="paragraph" w:styleId="Didascalia">
    <w:name w:val="caption"/>
    <w:basedOn w:val="Normale"/>
    <w:rsid w:val="00C47CFE"/>
    <w:pPr>
      <w:suppressLineNumbers/>
      <w:spacing w:before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47CFE"/>
    <w:pPr>
      <w:suppressLineNumbers/>
    </w:pPr>
    <w:rPr>
      <w:rFonts w:cs="Lucida Sans"/>
    </w:rPr>
  </w:style>
  <w:style w:type="paragraph" w:styleId="Testonotaapidipagina">
    <w:name w:val="footnote text"/>
    <w:basedOn w:val="Normale"/>
    <w:qFormat/>
    <w:rsid w:val="00C47CFE"/>
  </w:style>
  <w:style w:type="paragraph" w:styleId="Paragrafoelenco">
    <w:name w:val="List Paragraph"/>
    <w:basedOn w:val="Normale"/>
    <w:uiPriority w:val="34"/>
    <w:qFormat/>
    <w:rsid w:val="00C47CFE"/>
    <w:pPr>
      <w:ind w:left="357" w:hanging="357"/>
    </w:pPr>
  </w:style>
  <w:style w:type="paragraph" w:styleId="Testonormale">
    <w:name w:val="Plain Text"/>
    <w:basedOn w:val="Normale"/>
    <w:qFormat/>
    <w:rsid w:val="00C47CF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C47CF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C47CF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qFormat/>
    <w:rsid w:val="00C47CFE"/>
    <w:rPr>
      <w:sz w:val="20"/>
      <w:szCs w:val="20"/>
    </w:rPr>
  </w:style>
  <w:style w:type="paragraph" w:styleId="Soggettocommento">
    <w:name w:val="annotation subject"/>
    <w:basedOn w:val="Testocommento"/>
    <w:qFormat/>
    <w:rsid w:val="00C47CFE"/>
    <w:rPr>
      <w:b/>
      <w:bCs/>
    </w:rPr>
  </w:style>
  <w:style w:type="paragraph" w:styleId="Testofumetto">
    <w:name w:val="Balloon Text"/>
    <w:basedOn w:val="Normale"/>
    <w:qFormat/>
    <w:rsid w:val="00C47CF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C47CFE"/>
    <w:pPr>
      <w:suppressLineNumbers/>
      <w:ind w:left="339" w:hanging="339"/>
    </w:pPr>
    <w:rPr>
      <w:sz w:val="20"/>
      <w:szCs w:val="20"/>
    </w:rPr>
  </w:style>
  <w:style w:type="paragraph" w:customStyle="1" w:styleId="Quotations">
    <w:name w:val="Quotations"/>
    <w:basedOn w:val="Normale"/>
    <w:qFormat/>
    <w:rsid w:val="00C47CFE"/>
  </w:style>
  <w:style w:type="paragraph" w:customStyle="1" w:styleId="Titoloprincipale">
    <w:name w:val="Titolo principale"/>
    <w:basedOn w:val="Titolo"/>
    <w:rsid w:val="00C47CFE"/>
  </w:style>
  <w:style w:type="paragraph" w:styleId="Sottotitolo">
    <w:name w:val="Subtitle"/>
    <w:basedOn w:val="Titolo"/>
    <w:rsid w:val="00C47C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34ACF-86BC-4601-B661-7EF5AF43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e.biasci</cp:lastModifiedBy>
  <cp:revision>2</cp:revision>
  <cp:lastPrinted>2019-02-26T09:22:00Z</cp:lastPrinted>
  <dcterms:created xsi:type="dcterms:W3CDTF">2022-06-30T12:29:00Z</dcterms:created>
  <dcterms:modified xsi:type="dcterms:W3CDTF">2022-06-30T12:29:00Z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0x010100EF3E4C7D9B32CB48A1155CEF57466293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